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BA" w:rsidRDefault="001432D7" w:rsidP="001432D7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Materská škola / J. Šimka 7, J. Šimka 7, Martin 03601, IČO: 37975102</w:t>
      </w:r>
    </w:p>
    <w:p w:rsidR="002204B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2204B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2204B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2204B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2204BA" w:rsidRDefault="002204BA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2204B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2204BA" w:rsidRDefault="002204BA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2204BA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:rsidR="002204BA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2204BA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204BA" w:rsidTr="00DB2E45">
        <w:trPr>
          <w:trHeight w:val="20"/>
        </w:trPr>
        <w:tc>
          <w:tcPr>
            <w:tcW w:w="4644" w:type="dxa"/>
          </w:tcPr>
          <w:p w:rsidR="002204BA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:rsidR="002204BA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2204BA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2204B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21F19" w:rsidRDefault="00321F19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zákonov v znení neskorších predpisov, Zákon č. 305/2013 Z.z. o elektronickej podobe výkonu pôsobnosti orgánov verejnej moci a o zmene a doplnení niektorých zákonov ( zákon o e-Governmente), </w:t>
      </w:r>
      <w:r w:rsidRPr="00321F19">
        <w:rPr>
          <w:rFonts w:ascii="Arial" w:eastAsia="Times New Roman" w:hAnsi="Arial" w:cs="Arial"/>
          <w:color w:val="151515"/>
          <w:sz w:val="20"/>
          <w:szCs w:val="20"/>
        </w:rPr>
        <w:t>Zákon 596/2003 Z.z. o o štátnej správe v školstve a školskej samospráve a o zmene a doplnení niektorých zákonov, Zákon 71/1967 Zb. o správnom konaní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321F19" w:rsidRDefault="00321F19" w:rsidP="00321F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21F19" w:rsidTr="00321F1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9" w:rsidRDefault="00321F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9" w:rsidRDefault="00321F1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detí: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v evidencii detí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Deti, Zákonní zástupcovia detí 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dátum narodenia, bydlisko, informácie o zákonnom zástupcovi ( titul, meno, priezvisko, bydlisko, telefónne číslo, email)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 č. 245/2008 Z.z.  o výchove a vzdelávaní (školský zákon) a o zmene a doplnení niektorých zákonov v znení neskorších predpisov, Zákon č. 596/2003 Z.z. o štátnej správe v školstve a školskej samospráve a zmene a o doplnení niektorých </w:t>
      </w:r>
      <w:r>
        <w:rPr>
          <w:rFonts w:ascii="Arial" w:eastAsia="Times New Roman" w:hAnsi="Arial" w:cs="Arial"/>
          <w:color w:val="151515"/>
          <w:sz w:val="20"/>
          <w:szCs w:val="18"/>
        </w:rPr>
        <w:lastRenderedPageBreak/>
        <w:t>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z.Z o odbornom vzdelávaní a príprave a o zmene a doplnení niektorých zákonov, Zákon č. 317/2009Z.z.  o pedagogických zamestnancoch a odborných zamestnancoch a o zmene a doplnení niektorých zákonov v znení neskorších predpisov</w:t>
      </w:r>
      <w:r w:rsidR="0052677D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18"/>
        </w:rPr>
        <w:t>Zákon 5/2004 Z. z. o službách zamestnanosti a o zmene a doplnení niektorých zákonov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z.Z o odbornom vzdelávaní a príprave a o zmene a doplnení niektorých zákonov, Zákon č. 317/2009Z.z.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321F19" w:rsidRDefault="00321F19" w:rsidP="00321F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Osobné spisy dieťaťa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rokov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Prihlášky, rozhodnutie, oznámenia o prijatí/neprijatí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Rozhodnutia o prerušení a o predčasnom ukončení dochádzky dieťaťa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Dochádzka dieťaťa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roky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Splnomocnenie rodičov o prevzatí dieťaťa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roky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Potvrdenie o bezinfekčnosti dieťaťa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Záznamy o deťoch, pedagogická charakteristika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</w:tbl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zákonnou požiadavkou pre naplnenie účelu ich spracúvania.</w:t>
      </w: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v Evidencii stravníkov: 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stravníkov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titul: </w:t>
      </w:r>
      <w:r>
        <w:rPr>
          <w:rFonts w:ascii="Arial" w:hAnsi="Arial" w:cs="Arial"/>
          <w:sz w:val="20"/>
          <w:szCs w:val="20"/>
        </w:rPr>
        <w:t>titul, meno a priezvisko, bydlisko, bankový účet fyzickej osoby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Zákon č. 597/2003 Z.z. o financovaní základných škôl, stredných škôl a školských zariadení, Zákon č. 245/2008 Z.z.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Z.z. o účtovníctve, zmluvný vzťah s dotknutou osobou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2677D" w:rsidTr="0052677D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Fotografie: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</w:t>
      </w:r>
      <w:r>
        <w:rPr>
          <w:rFonts w:ascii="Arial" w:eastAsia="Times New Roman" w:hAnsi="Arial" w:cs="Arial"/>
          <w:color w:val="FF0000"/>
          <w:sz w:val="20"/>
          <w:szCs w:val="20"/>
        </w:rPr>
        <w:t>zverejňovaniu fotografií na webovom sídle prevádzkovateľa, sociálnych sieťach, nástenných tabuliach, letákoch, tlačovinách, printových a elektronických médiách za účelom propagácie a prezentácie spoločnosti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pracovné zaradenie, fotografia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lastRenderedPageBreak/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2677D" w:rsidTr="0052677D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dobu trvania školského roku </w:t>
            </w:r>
          </w:p>
        </w:tc>
      </w:tr>
    </w:tbl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vybavovaní sťažností podľa zákona č. 9/2010 Z.z o sťažnostiach v znení zákona č. 289/2012 Z.z., vybavovanie prianí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Zákona č. 9/2010 Z.z o sťažnostiach v znení zákona č. 289/2012 Z.z., vybavovanie prianí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2677D" w:rsidTr="006F0BE6">
        <w:trPr>
          <w:trHeight w:val="20"/>
        </w:trPr>
        <w:tc>
          <w:tcPr>
            <w:tcW w:w="4644" w:type="dxa"/>
          </w:tcPr>
          <w:p w:rsidR="0052677D" w:rsidRDefault="0052677D" w:rsidP="006F0B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:rsidR="0052677D" w:rsidRDefault="0052677D" w:rsidP="006F0BE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2677D" w:rsidTr="0052677D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životopis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súhlasu</w:t>
            </w:r>
          </w:p>
        </w:tc>
      </w:tr>
    </w:tbl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Infozákon: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 sprístupnenie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meno, priezvisko, bydlisko, telefónne číslo, e-mail, podľa § 20 zákona 211/2000 Z.z. o slobodnom prístupe k informáciám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211/2000 Z.z. o slobodnom prístupe k informáciám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321F19" w:rsidRDefault="00321F19" w:rsidP="00321F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21F19" w:rsidTr="00337788">
        <w:trPr>
          <w:trHeight w:val="20"/>
        </w:trPr>
        <w:tc>
          <w:tcPr>
            <w:tcW w:w="4644" w:type="dxa"/>
          </w:tcPr>
          <w:p w:rsidR="00321F19" w:rsidRDefault="00321F19" w:rsidP="00337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:rsidR="00321F19" w:rsidRDefault="00321F19" w:rsidP="003377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neuskutočňuje.</w:t>
      </w:r>
    </w:p>
    <w:p w:rsidR="00321F19" w:rsidRDefault="00321F19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/>
          <w:color w:val="151515"/>
          <w:sz w:val="20"/>
          <w:szCs w:val="20"/>
        </w:rPr>
        <w:t>z dôvodu dodržiavania zásady minimalizácie sú všetky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Vami poskytnuté osobné údaje nevyhnutnou zákonnou požiadavkou pre naplnenie účelu ich spracúvania.</w:t>
      </w: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Účel spracúvania osobných údajov v oznamovaní protispoločenskej činnosti:</w:t>
      </w:r>
    </w:p>
    <w:p w:rsidR="0052677D" w:rsidRDefault="0052677D" w:rsidP="0052677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V rámci činnosti dochádza k spracúvaniu osobných údajov za účelom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vedenia agendy potrebnej k splneniu zákonnej povinnosti prevádzkovateľa pri prešetrovaní podnetov podaných k prešetreniu protispoločenskej činnosti. </w:t>
      </w:r>
    </w:p>
    <w:p w:rsidR="0052677D" w:rsidRDefault="0052677D" w:rsidP="0052677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 fyzické osoby, ktoré podali oznámenie</w:t>
      </w:r>
    </w:p>
    <w:p w:rsidR="0052677D" w:rsidRDefault="0052677D" w:rsidP="0052677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adresa pobyt u osoby, ktorá podala podnet, dátum doručenia podnetu, predmet podnetu, výsledok preverenia podnetu, dátum skončenia preverenia podnetu</w:t>
      </w:r>
    </w:p>
    <w:p w:rsidR="0052677D" w:rsidRDefault="0052677D" w:rsidP="0052677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Právny základ spracúvania osobných údajov:</w:t>
      </w:r>
      <w:r>
        <w:rPr>
          <w:rFonts w:ascii="Arial" w:hAnsi="Arial" w:cs="Arial"/>
          <w:sz w:val="20"/>
          <w:szCs w:val="20"/>
        </w:rPr>
        <w:t xml:space="preserve"> Zákon č. 307/2014 Z. z. o niektorých opatreniach súvisiacich s oznamovaním protispoločenskej činnosti a o zmene a doplnení niektorých zákonov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Kategórie príjemcov: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2677D" w:rsidTr="0052677D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Podnety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7D" w:rsidRDefault="005267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52677D" w:rsidRDefault="0052677D" w:rsidP="0052677D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52677D" w:rsidRDefault="0052677D" w:rsidP="0052677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52677D" w:rsidRDefault="0052677D" w:rsidP="00321F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321F19" w:rsidRDefault="00321F19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2204BA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2204B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2204B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2204BA" w:rsidRDefault="002204B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Materská škola / J. Šimka 7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2204B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2204BA" w:rsidRDefault="002204B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2204BA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="002204BA" w:rsidRDefault="002204BA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2204BA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2204BA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1432D7"/>
    <w:rsid w:val="002204BA"/>
    <w:rsid w:val="002D5955"/>
    <w:rsid w:val="00303C10"/>
    <w:rsid w:val="00321F19"/>
    <w:rsid w:val="0032495B"/>
    <w:rsid w:val="00345A45"/>
    <w:rsid w:val="004906CB"/>
    <w:rsid w:val="004F63E0"/>
    <w:rsid w:val="00500DEF"/>
    <w:rsid w:val="0052677D"/>
    <w:rsid w:val="005364D1"/>
    <w:rsid w:val="005637AE"/>
    <w:rsid w:val="006948D9"/>
    <w:rsid w:val="008A5F6D"/>
    <w:rsid w:val="008D3F99"/>
    <w:rsid w:val="009C5FAE"/>
    <w:rsid w:val="00AC0D48"/>
    <w:rsid w:val="00B706E4"/>
    <w:rsid w:val="00C87773"/>
    <w:rsid w:val="00CE6051"/>
    <w:rsid w:val="00DB03A4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2E9C"/>
  <w15:docId w15:val="{453F4E5B-882C-4248-938B-4D079D1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3</cp:revision>
  <dcterms:created xsi:type="dcterms:W3CDTF">2019-06-11T11:42:00Z</dcterms:created>
  <dcterms:modified xsi:type="dcterms:W3CDTF">2019-06-11T11:46:00Z</dcterms:modified>
</cp:coreProperties>
</file>